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Teaching Routine for Planning and Organizing using TIDE</w:t>
      </w:r>
    </w:p>
    <w:p w:rsidR="00000000" w:rsidDel="00000000" w:rsidP="00000000" w:rsidRDefault="00000000" w:rsidRPr="00000000" w14:paraId="00000002">
      <w:pPr>
        <w:jc w:val="center"/>
        <w:rPr/>
      </w:pPr>
      <w:r w:rsidDel="00000000" w:rsidR="00000000" w:rsidRPr="00000000">
        <w:rPr>
          <w:rtl w:val="0"/>
        </w:rPr>
        <w:t xml:space="preserve">Adapted from Laud &amp; Patel (2018); TIDE materials from Gary Troia</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Discuss purpose and flexibility of planning and outlining to build student buy-in</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Explain that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planning is gathering and listing ideas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while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organizing is arranging and outlining these ideas</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 effective organizers use short phrases vs. ineffective organizers that use whole sentences (with the exception of a topic sentence)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Provide an organizer (TIDE) and teach students how to use it</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Plan: list all of your ideas using short phrases.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Then Organize: arrange your ideas using the TIDE acronym. Add new ideas if you need to.</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students write out organizer on paper themselves and explain that they can use this organizer anytime they want, and they do not have to wait for a teacher to print a worksheet.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Go back in time, map out, and see what an organizer for an exemplar text might have looked like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Read an exemplar text and model how pieces of this writing can be placed in a TIDE organizer. Students can work in groups or independently to identify where in the TIDE structure topics, ideas, details, and endings might fit.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Example of backwards mapping into TIDE organizer (Laud &amp; Patel, p. 77)</w:t>
      </w:r>
      <w:r w:rsidDel="00000000" w:rsidR="00000000" w:rsidRPr="00000000">
        <w:rPr>
          <w:rtl w:val="0"/>
        </w:rPr>
      </w:r>
    </w:p>
    <w:tbl>
      <w:tblPr>
        <w:tblStyle w:val="Table1"/>
        <w:tblW w:w="9270.0" w:type="dxa"/>
        <w:jc w:val="left"/>
        <w:tblInd w:w="2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9"/>
        <w:gridCol w:w="4161"/>
        <w:tblGridChange w:id="0">
          <w:tblGrid>
            <w:gridCol w:w="5109"/>
            <w:gridCol w:w="4161"/>
          </w:tblGrid>
        </w:tblGridChange>
      </w:tblGrid>
      <w:tr>
        <w:trPr>
          <w:cantSplit w:val="0"/>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Exemplar</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Just Right Plan (Short Phrases)</w:t>
            </w:r>
          </w:p>
        </w:tc>
      </w:tr>
      <w:tr>
        <w:trPr>
          <w:cantSplit w:val="0"/>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Ants have so many jobs in the colony. Queens lay eggs. Eggs make more ants to help out in the colony Scouts hunt for food and leave a scent trail. They bring back tasty, nutritious food to the colony. Worker ants build tunnels and chambers. They store food that they need in these. Ants do so much to help the colony survive.</w:t>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Ants jobs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Queens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eggs (pg. 1, para 2)</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eggs impt- colony survive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Scouts hunt (pg 2, para 3)</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scent trail—others help—need food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 build tunn/chamb (pg 1, para 4)</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store needed food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needed</w:t>
            </w:r>
          </w:p>
        </w:tc>
      </w:tr>
    </w:tbl>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Go even further back in time and bullet an initial planning (brainstorming) list</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the notes from the exemplar text TIDE organizer and pull it apart further to make a version of an initial planning/brainstorming list the writer might have used. Remember that strong planning uses words and phrases, not whole sentences!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Build skills in planning and organization through continued modeling and repeated practice with feedback</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Establish the expectation that students will create a version of a written plan before writing and reinforce this throughout the school year</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Continually emphasize that effective planning uses phrases and words, not sentences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 students that there is not one way to plan and organize, but there are some ways that are more effective for certain tasks or genres (like using TIDE for writing to teach someone about a science topic).</w:t>
      </w: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4500"/>
        <w:gridCol w:w="4225"/>
        <w:tblGridChange w:id="0">
          <w:tblGrid>
            <w:gridCol w:w="625"/>
            <w:gridCol w:w="4500"/>
            <w:gridCol w:w="4225"/>
          </w:tblGrid>
        </w:tblGridChange>
      </w:tblGrid>
      <w:tr>
        <w:trPr>
          <w:cantSplit w:val="0"/>
          <w:tblHeader w:val="0"/>
        </w:trPr>
        <w:tc>
          <w:tcPr/>
          <w:p w:rsidR="00000000" w:rsidDel="00000000" w:rsidP="00000000" w:rsidRDefault="00000000" w:rsidRPr="00000000" w14:paraId="0000001F">
            <w:pPr>
              <w:rPr>
                <w:b w:val="1"/>
                <w:sz w:val="32"/>
                <w:szCs w:val="32"/>
              </w:rPr>
            </w:pPr>
            <w:r w:rsidDel="00000000" w:rsidR="00000000" w:rsidRPr="00000000">
              <w:rPr>
                <w:b w:val="1"/>
                <w:sz w:val="32"/>
                <w:szCs w:val="32"/>
                <w:rtl w:val="0"/>
              </w:rPr>
              <w:t xml:space="preserve">T</w:t>
            </w:r>
          </w:p>
        </w:tc>
        <w:tc>
          <w:tcPr>
            <w:gridSpan w:val="2"/>
          </w:tcPr>
          <w:p w:rsidR="00000000" w:rsidDel="00000000" w:rsidP="00000000" w:rsidRDefault="00000000" w:rsidRPr="00000000" w14:paraId="00000020">
            <w:pPr>
              <w:rPr/>
            </w:pPr>
            <w:r w:rsidDel="00000000" w:rsidR="00000000" w:rsidRPr="00000000">
              <w:rPr>
                <w:rtl w:val="0"/>
              </w:rPr>
              <w:t xml:space="preserve">Topic Introduction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2C">
            <w:pPr>
              <w:rPr>
                <w:b w:val="1"/>
                <w:sz w:val="32"/>
                <w:szCs w:val="32"/>
              </w:rPr>
            </w:pPr>
            <w:r w:rsidDel="00000000" w:rsidR="00000000" w:rsidRPr="00000000">
              <w:rPr>
                <w:b w:val="1"/>
                <w:sz w:val="32"/>
                <w:szCs w:val="32"/>
                <w:rtl w:val="0"/>
              </w:rPr>
              <w:t xml:space="preserve">I</w:t>
            </w:r>
          </w:p>
          <w:p w:rsidR="00000000" w:rsidDel="00000000" w:rsidP="00000000" w:rsidRDefault="00000000" w:rsidRPr="00000000" w14:paraId="0000002D">
            <w:pPr>
              <w:rPr>
                <w:b w:val="1"/>
                <w:sz w:val="32"/>
                <w:szCs w:val="32"/>
              </w:rPr>
            </w:pPr>
            <w:r w:rsidDel="00000000" w:rsidR="00000000" w:rsidRPr="00000000">
              <w:rPr>
                <w:b w:val="1"/>
                <w:sz w:val="32"/>
                <w:szCs w:val="32"/>
                <w:rtl w:val="0"/>
              </w:rPr>
              <w:t xml:space="preserve">D</w:t>
            </w:r>
          </w:p>
        </w:tc>
        <w:tc>
          <w:tcPr/>
          <w:p w:rsidR="00000000" w:rsidDel="00000000" w:rsidP="00000000" w:rsidRDefault="00000000" w:rsidRPr="00000000" w14:paraId="0000002E">
            <w:pPr>
              <w:rPr/>
            </w:pPr>
            <w:r w:rsidDel="00000000" w:rsidR="00000000" w:rsidRPr="00000000">
              <w:rPr>
                <w:rtl w:val="0"/>
              </w:rPr>
              <w:t xml:space="preserve">Important Evidence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Detailed Examination</w:t>
            </w:r>
          </w:p>
        </w:tc>
      </w:tr>
      <w:tr>
        <w:trPr>
          <w:cantSplit w:val="0"/>
          <w:tblHeader w:val="0"/>
        </w:trPr>
        <w:tc>
          <w:tcPr>
            <w:vMerge w:val="continu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t xml:space="preserve">Important Evidence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tc>
        <w:tc>
          <w:tcPr/>
          <w:p w:rsidR="00000000" w:rsidDel="00000000" w:rsidP="00000000" w:rsidRDefault="00000000" w:rsidRPr="00000000" w14:paraId="0000003F">
            <w:pPr>
              <w:rPr>
                <w:b w:val="1"/>
              </w:rPr>
            </w:pPr>
            <w:r w:rsidDel="00000000" w:rsidR="00000000" w:rsidRPr="00000000">
              <w:rPr>
                <w:rtl w:val="0"/>
              </w:rPr>
              <w:t xml:space="preserve">Detailed Examination</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t xml:space="preserve">Important Evidence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tc>
        <w:tc>
          <w:tcPr/>
          <w:p w:rsidR="00000000" w:rsidDel="00000000" w:rsidP="00000000" w:rsidRDefault="00000000" w:rsidRPr="00000000" w14:paraId="00000049">
            <w:pPr>
              <w:rPr>
                <w:b w:val="1"/>
              </w:rPr>
            </w:pPr>
            <w:r w:rsidDel="00000000" w:rsidR="00000000" w:rsidRPr="00000000">
              <w:rPr>
                <w:rtl w:val="0"/>
              </w:rPr>
              <w:t xml:space="preserve">Detailed Examination</w:t>
            </w:r>
            <w:r w:rsidDel="00000000" w:rsidR="00000000" w:rsidRPr="00000000">
              <w:rPr>
                <w:rtl w:val="0"/>
              </w:rPr>
            </w:r>
          </w:p>
        </w:tc>
      </w:tr>
      <w:tr>
        <w:trPr>
          <w:cantSplit w:val="0"/>
          <w:tblHeader w:val="0"/>
        </w:trPr>
        <w:tc>
          <w:tcPr/>
          <w:p w:rsidR="00000000" w:rsidDel="00000000" w:rsidP="00000000" w:rsidRDefault="00000000" w:rsidRPr="00000000" w14:paraId="0000004A">
            <w:pPr>
              <w:rPr>
                <w:b w:val="1"/>
                <w:sz w:val="32"/>
                <w:szCs w:val="32"/>
              </w:rPr>
            </w:pPr>
            <w:r w:rsidDel="00000000" w:rsidR="00000000" w:rsidRPr="00000000">
              <w:rPr>
                <w:b w:val="1"/>
                <w:sz w:val="32"/>
                <w:szCs w:val="32"/>
                <w:rtl w:val="0"/>
              </w:rPr>
              <w:t xml:space="preserve">E</w:t>
            </w:r>
          </w:p>
        </w:tc>
        <w:tc>
          <w:tcPr>
            <w:gridSpan w:val="2"/>
          </w:tcPr>
          <w:p w:rsidR="00000000" w:rsidDel="00000000" w:rsidP="00000000" w:rsidRDefault="00000000" w:rsidRPr="00000000" w14:paraId="0000004B">
            <w:pPr>
              <w:rPr/>
            </w:pPr>
            <w:r w:rsidDel="00000000" w:rsidR="00000000" w:rsidRPr="00000000">
              <w:rPr>
                <w:rtl w:val="0"/>
              </w:rPr>
              <w:t xml:space="preserve">Ending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tc>
      </w:tr>
    </w:tbl>
    <w:p w:rsidR="00000000" w:rsidDel="00000000" w:rsidP="00000000" w:rsidRDefault="00000000" w:rsidRPr="00000000" w14:paraId="00000054">
      <w:pPr>
        <w:jc w:val="right"/>
        <w:rPr/>
      </w:pPr>
      <w:r w:rsidDel="00000000" w:rsidR="00000000" w:rsidRPr="00000000">
        <w:rPr>
          <w:rtl w:val="0"/>
        </w:rPr>
      </w:r>
    </w:p>
    <w:p w:rsidR="00000000" w:rsidDel="00000000" w:rsidP="00000000" w:rsidRDefault="00000000" w:rsidRPr="00000000" w14:paraId="00000055">
      <w:pPr>
        <w:jc w:val="right"/>
        <w:rPr/>
      </w:pPr>
      <w:r w:rsidDel="00000000" w:rsidR="00000000" w:rsidRPr="00000000">
        <w:rPr/>
        <w:drawing>
          <wp:inline distB="114300" distT="114300" distL="114300" distR="114300">
            <wp:extent cx="6691313" cy="7592435"/>
            <wp:effectExtent b="0" l="0" r="0" t="0"/>
            <wp:docPr id="1" name="image2.png"/>
            <a:graphic>
              <a:graphicData uri="http://schemas.openxmlformats.org/drawingml/2006/picture">
                <pic:pic>
                  <pic:nvPicPr>
                    <pic:cNvPr id="0" name="image2.png"/>
                    <pic:cNvPicPr preferRelativeResize="0"/>
                  </pic:nvPicPr>
                  <pic:blipFill>
                    <a:blip r:embed="rId7"/>
                    <a:srcRect b="13838" l="31410" r="30448" t="15665"/>
                    <a:stretch>
                      <a:fillRect/>
                    </a:stretch>
                  </pic:blipFill>
                  <pic:spPr>
                    <a:xfrm>
                      <a:off x="0" y="0"/>
                      <a:ext cx="6691313" cy="7592435"/>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jc w:val="right"/>
        <w:rPr/>
      </w:pPr>
      <w:r w:rsidDel="00000000" w:rsidR="00000000" w:rsidRPr="00000000">
        <w:rPr>
          <w:rtl w:val="0"/>
        </w:rPr>
      </w:r>
    </w:p>
    <w:p w:rsidR="00000000" w:rsidDel="00000000" w:rsidP="00000000" w:rsidRDefault="00000000" w:rsidRPr="00000000" w14:paraId="00000057">
      <w:pPr>
        <w:jc w:val="right"/>
        <w:rPr/>
      </w:pPr>
      <w:r w:rsidDel="00000000" w:rsidR="00000000" w:rsidRPr="00000000">
        <w:rPr>
          <w:rtl w:val="0"/>
        </w:rPr>
      </w:r>
    </w:p>
    <w:p w:rsidR="00000000" w:rsidDel="00000000" w:rsidP="00000000" w:rsidRDefault="00000000" w:rsidRPr="00000000" w14:paraId="00000058">
      <w:pPr>
        <w:jc w:val="right"/>
        <w:rPr/>
      </w:pPr>
      <w:r w:rsidDel="00000000" w:rsidR="00000000" w:rsidRPr="00000000">
        <w:rPr>
          <w:rtl w:val="0"/>
        </w:rPr>
      </w:r>
    </w:p>
    <w:p w:rsidR="00000000" w:rsidDel="00000000" w:rsidP="00000000" w:rsidRDefault="00000000" w:rsidRPr="00000000" w14:paraId="00000059">
      <w:pPr>
        <w:jc w:val="right"/>
        <w:rPr/>
      </w:pPr>
      <w:r w:rsidDel="00000000" w:rsidR="00000000" w:rsidRPr="00000000">
        <w:rPr/>
        <w:drawing>
          <wp:inline distB="114300" distT="114300" distL="114300" distR="114300">
            <wp:extent cx="6719888" cy="8499858"/>
            <wp:effectExtent b="0" l="0" r="0" t="0"/>
            <wp:docPr id="3" name="image1.png"/>
            <a:graphic>
              <a:graphicData uri="http://schemas.openxmlformats.org/drawingml/2006/picture">
                <pic:pic>
                  <pic:nvPicPr>
                    <pic:cNvPr id="0" name="image1.png"/>
                    <pic:cNvPicPr preferRelativeResize="0"/>
                  </pic:nvPicPr>
                  <pic:blipFill>
                    <a:blip r:embed="rId8"/>
                    <a:srcRect b="1704" l="30929" r="27796" t="13054"/>
                    <a:stretch>
                      <a:fillRect/>
                    </a:stretch>
                  </pic:blipFill>
                  <pic:spPr>
                    <a:xfrm>
                      <a:off x="0" y="0"/>
                      <a:ext cx="6719888" cy="8499858"/>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jc w:val="right"/>
        <w:rPr/>
      </w:pPr>
      <w:r w:rsidDel="00000000" w:rsidR="00000000" w:rsidRPr="00000000">
        <w:rPr/>
        <w:drawing>
          <wp:inline distB="114300" distT="114300" distL="114300" distR="114300">
            <wp:extent cx="6490662" cy="8177213"/>
            <wp:effectExtent b="0" l="0" r="0" t="0"/>
            <wp:docPr id="4" name="image3.png"/>
            <a:graphic>
              <a:graphicData uri="http://schemas.openxmlformats.org/drawingml/2006/picture">
                <pic:pic>
                  <pic:nvPicPr>
                    <pic:cNvPr id="0" name="image3.png"/>
                    <pic:cNvPicPr preferRelativeResize="0"/>
                  </pic:nvPicPr>
                  <pic:blipFill>
                    <a:blip r:embed="rId9"/>
                    <a:srcRect b="8877" l="31730" r="29487" t="11488"/>
                    <a:stretch>
                      <a:fillRect/>
                    </a:stretch>
                  </pic:blipFill>
                  <pic:spPr>
                    <a:xfrm>
                      <a:off x="0" y="0"/>
                      <a:ext cx="6490662" cy="8177213"/>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jc w:val="right"/>
        <w:rPr/>
      </w:pPr>
      <w:r w:rsidDel="00000000" w:rsidR="00000000" w:rsidRPr="00000000">
        <w:rPr>
          <w:rtl w:val="0"/>
        </w:rPr>
      </w:r>
    </w:p>
    <w:p w:rsidR="00000000" w:rsidDel="00000000" w:rsidP="00000000" w:rsidRDefault="00000000" w:rsidRPr="00000000" w14:paraId="0000005C">
      <w:pPr>
        <w:jc w:val="right"/>
        <w:rPr/>
      </w:pPr>
      <w:r w:rsidDel="00000000" w:rsidR="00000000" w:rsidRPr="00000000">
        <w:rPr/>
        <w:drawing>
          <wp:inline distB="114300" distT="114300" distL="114300" distR="114300">
            <wp:extent cx="6034088" cy="7255563"/>
            <wp:effectExtent b="0" l="0" r="0" t="0"/>
            <wp:docPr id="2" name="image4.png"/>
            <a:graphic>
              <a:graphicData uri="http://schemas.openxmlformats.org/drawingml/2006/picture">
                <pic:pic>
                  <pic:nvPicPr>
                    <pic:cNvPr id="0" name="image4.png"/>
                    <pic:cNvPicPr preferRelativeResize="0"/>
                  </pic:nvPicPr>
                  <pic:blipFill>
                    <a:blip r:embed="rId10"/>
                    <a:srcRect b="5613" l="32532" r="27884" t="16832"/>
                    <a:stretch>
                      <a:fillRect/>
                    </a:stretch>
                  </pic:blipFill>
                  <pic:spPr>
                    <a:xfrm>
                      <a:off x="0" y="0"/>
                      <a:ext cx="6034088" cy="7255563"/>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13DB5"/>
    <w:pPr>
      <w:ind w:left="720"/>
      <w:contextualSpacing w:val="1"/>
    </w:pPr>
  </w:style>
  <w:style w:type="table" w:styleId="TableGrid">
    <w:name w:val="Table Grid"/>
    <w:basedOn w:val="TableNormal"/>
    <w:uiPriority w:val="39"/>
    <w:rsid w:val="00AC49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POgk6LDnGCJVrmUpc4SytGiQQ==">CgMxLjA4AHIhMW1YZjNSRXhORzlURFJoVkNkWUZhVEExVWQ5YUtjU1M5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EE69C4415F98E4CAD55993E46889997" ma:contentTypeVersion="18" ma:contentTypeDescription="Create a new document." ma:contentTypeScope="" ma:versionID="def488c89b2cbe7375ed68293345b80b">
  <xsd:schema xmlns:xsd="http://www.w3.org/2001/XMLSchema" xmlns:xs="http://www.w3.org/2001/XMLSchema" xmlns:p="http://schemas.microsoft.com/office/2006/metadata/properties" xmlns:ns2="320217a8-8045-4c54-b1a5-5c379bae4f02" xmlns:ns3="fe931517-9057-4b3f-a351-4024441da3d6" targetNamespace="http://schemas.microsoft.com/office/2006/metadata/properties" ma:root="true" ma:fieldsID="3cf8fc453752bc33f0375c796f7d1a9b" ns2:_="" ns3:_="">
    <xsd:import namespace="320217a8-8045-4c54-b1a5-5c379bae4f02"/>
    <xsd:import namespace="fe931517-9057-4b3f-a351-4024441da3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217a8-8045-4c54-b1a5-5c379bae4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31517-9057-4b3f-a351-4024441da3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d69ffc-9c86-405f-92a2-29cf273d417e}" ma:internalName="TaxCatchAll" ma:showField="CatchAllData" ma:web="fe931517-9057-4b3f-a351-4024441da3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0217a8-8045-4c54-b1a5-5c379bae4f02">
      <Terms xmlns="http://schemas.microsoft.com/office/infopath/2007/PartnerControls"/>
    </lcf76f155ced4ddcb4097134ff3c332f>
    <TaxCatchAll xmlns="fe931517-9057-4b3f-a351-4024441da3d6"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05F5851-CE92-49DF-B507-49FB83B2258A}"/>
</file>

<file path=customXML/itemProps3.xml><?xml version="1.0" encoding="utf-8"?>
<ds:datastoreItem xmlns:ds="http://schemas.openxmlformats.org/officeDocument/2006/customXml" ds:itemID="{F81212BF-B9B0-4E6E-9D13-AAF30F9F7861}"/>
</file>

<file path=customXML/itemProps4.xml><?xml version="1.0" encoding="utf-8"?>
<ds:datastoreItem xmlns:ds="http://schemas.openxmlformats.org/officeDocument/2006/customXml" ds:itemID="{E10F1094-F65D-4F0E-AF85-F8079109F38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Katie</dc:creator>
  <dcterms:created xsi:type="dcterms:W3CDTF">2022-12-19T17:56:00Z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0x0101009EE69C4415F98E4CAD55993E46889997</vt:lpwstr>
  </property>
</Properties>
</file>